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70</w:t>
      </w:r>
    </w:p>
    <w:p>
      <w:r>
        <w:t>Bundesgericht (BGE), 2019-08-21, DE</w:t>
      </w:r>
    </w:p>
    <w:p>
      <w:r>
        <w:rPr>
          <w:b/>
        </w:rPr>
        <w:t xml:space="preserve">Quelle: </w:t>
      </w:r>
      <w:r>
        <w:t>https://mcp.opencaselaw.ch/entscheid/bge_147 V 70</w:t>
      </w:r>
    </w:p>
    <w:p>
      <w:r>
        <w:t>FR: ATF 147 V 70</w:t>
      </w:r>
    </w:p>
    <w:p>
      <w:r>
        <w:t>IT: DTF 147 V 70</w:t>
      </w:r>
    </w:p>
    <w:p>
      <w:pPr>
        <w:pStyle w:val="Heading2"/>
      </w:pPr>
      <w:r>
        <w:t>Regeste</w:t>
      </w:r>
    </w:p>
    <w:p>
      <w:r>
        <w:t>Regeste Art. 39 Abs. 3 AHVG; Art. 55 quater Abs. 1 Satz 2 AHVV; Rentenaufschub. Die in Art. 55 quater Abs. 1 Satz 2 AHVV statuierte Frist zur Erklärung des Rentenaufschubs ist gesetzes- und verfassungskonform (E. 3.2.3).</w:t>
      </w:r>
    </w:p>
    <w:p>
      <w:pPr>
        <w:pStyle w:val="Heading2"/>
      </w:pPr>
      <w:r>
        <w:t>Erwägungen</w:t>
      </w:r>
    </w:p>
    <w:p>
      <w:r>
        <w:rPr>
          <w:b/>
        </w:rPr>
        <w:t>E. 3.1</w:t>
      </w:r>
    </w:p>
    <w:p>
      <w:r>
        <w:t>Es steht fest und ist unbestritten, dass der Versicherte gegenüber der AHV den Aufschub seiner Altersrente erstmals im September 2018 (mit dem Gesuch um Rentenvorausberechnung) thematisiert und somit nicht innert der Ende 2016 abgelaufenen Frist von Art. 55 quater Abs. 1 AHVV (SR 831.101) schriftlich erklärt hat.</w:t>
      </w:r>
    </w:p>
    <w:p>
      <w:r>
        <w:rPr>
          <w:b/>
        </w:rPr>
        <w:t>E. 3.2</w:t>
      </w:r>
    </w:p>
    <w:p>
      <w:r>
        <w:t>(...)</w:t>
      </w:r>
    </w:p>
    <w:p>
      <w:r>
        <w:rPr>
          <w:b/>
        </w:rPr>
        <w:t>E. 3.2.3</w:t>
      </w:r>
    </w:p>
    <w:p>
      <w:r>
        <w:t>Nach dem klaren Wortlaut von Art. 39 Abs. 3 AHVG hat der Gesetzgeber die Regelung des Verfahrens im Zusammenhang mit dem Rentenaufschub umfassend und ohne Einschränkung an den Bundesrat delegiert ("le Conseil fédéral [...] règle la procédure"; "il Consiglio federale [...] istituisce la procedura"). Vorschriften, wonach ein Recht nur innert einer bestimmten Frist (und allenfalls in einer bestimmten Form) rechtswirksam geltend gemacht werden kann, sind häufig vorkommende verfahrensrechtliche Bestimmungen. So sind etwa Art. 29 Abs. 3 ATSG , der die Einhaltung von Fristen und daran geknüpfte Rechtswirkungen bei der Geltendmachung eines Anspruchs betrifft, sowie Art. 52 Abs. 1 und Art. 60 Abs. 1 ATSG , die materielle Fristvorgaben enthalten, im 4. Kapitel des ATSG über die "Allgemeinen Verfahrensbestimmungen" eingeordnet. Aus der Botschaft vom 4. März 1968 zum Entwurf eines Bundesgesetzes betreffend Änderung des Bundesgesetzes über die Alters- und Hinterlassenenversicherung und zum Volksbegehren für den weiteren Ausbau von Alters- und Hinterlassenenversicherung und BGE 147 V 70 S. 72 Invalidenversicherung (BBl 1968 I 602) ergibt sich kein Hinweis darauf, dass der Gesetzgeber den Ermessensspielraum des Bundesrats bei der Verfahrensregelung einschränken und die Wahl des Rentenaufschubs unbefristet resp. mindestens bis zum Ablauf der maximalen Aufschubsdauer ermöglichen wollte. Es entspricht denn auch nicht Sinn und Zweck des gesetzlich vorgesehenen Rentenaufschubs, die Versicherten für mehrere Jahre in die Lage zu versetzen, dass sie auf die individuelle Entwicklung ihres Gesundheitszustands reagieren und dementsprechend - rückwirkend - die für sie wirtschaftlich bessere Lösung wählen können, wie die Vorinstanz zutreffend erkannt hat. Zudem lässt sich der versicherungstechnische Gegenwert der nicht bezogenen Leistung und damit der Erhöhungsfaktor (vgl. Art. 39 Abs. 2 und 3 AHVG sowie Art. 55 ter AHVV ) nur zuverlässig berechnen, wenn eine Wahl zwischen Nachzahlung oder Zuschlag (ab einem gewissen Zeitpunkt) ausgeschlossen ist ( BGE 105 V 50 E. 2b S. 52; BGE 98 V 255 E. 1 S. 257). Nach dem Gesagten respektierte der Bundesrat die Grenzen der gesetzlich delegierten Kompetenz, als er in Art. 55 quater Abs. 1 Satz 2 AHVV eine Frist zur Erklärung des Rentenaufschubs statuierte. Die Frist - deren Länge den Rentenaufschub und die damit bezweckten gesetzgeberischen Ziele (vgl. dazu BBl 1968 I 635) nicht verunmöglicht und zu keinen weiteren Bemerkungen Anlass gibt - ist sachlich begründet und entgegen der Auffassung des Beschwerdeführers nicht bloss "toter Formalismus" (vgl. auch BGE 98 V 255 E. 1 in fine S. 257). Daran ändert nichts, dass die AHV "strukturell immer defizitär ist", wie der Beschwerdeführer vorbringt. Eine Verfassungswidrigkeit - soweit sie überhaupt qualifiziert gerügt wird (vgl. Art. 106 Abs. 2 BGG ) - im Zusammenhang mit der hier interessierenden Frist ist somit auch nicht erkennbar.</w:t>
      </w:r>
    </w:p>
    <w:p>
      <w:r>
        <w:rPr>
          <w:b/>
        </w:rPr>
        <w:t>E. 3.3</w:t>
      </w:r>
    </w:p>
    <w:p>
      <w:r>
        <w:t>Sodann erblickt der Versicherte im Umstand, dass er auch nach Erreichen des AHV-Rentenalters weiterhin AHV-Beiträge bezahlt und keine Rente verlangt habe, eine konkludente, aber dennoch verbindliche Erklärung des Rentenaufschubs. Dieser Auffassung kann nicht beigepflichtet werden, wie bereits im Urteil H 196/90 vom 8. August 1991 E. 2c entschieden wurde. Insbesondere setzt der klare Wortlaut (vgl. zu dessen Bedeutung bei der Auslegung nicht publ. E. 3.2.2.1) von Art. 55 quater Abs. 1 AHVV eine Erklärung in Schriftform ("par écrit", "per iscritto") voraus. Dies dient der Rechtssicherheit und wird denn auch vom Beschwerdeführer nicht substanziiert bestritten (vgl. nicht publ. E. 1). BGE 147 V 70 S. 73</w:t>
      </w:r>
    </w:p>
    <w:p>
      <w:r>
        <w:rPr>
          <w:b/>
        </w:rPr>
        <w:t>E. 3.4</w:t>
      </w:r>
    </w:p>
    <w:p>
      <w:r>
        <w:t>Indem der Versicherte schliesslich darlegt, er sei nicht rechtzeitig über die Aufschubsmöglichkeit informiert worden, obwohl die Ausgleichskasse jedem betroffenen Versicherten eine entsprechende Mitteilung "automatisch schreiben und versenden lassen" könnte, macht er sinngemäss eine Verletzung von Art. 27 ATSG geltend. Diesbezüglich hat die Vorinstanz zutreffend erkannt, dass nach der Rechtsprechung die Verwaltung nicht verpflichtet ist, von sich aus, ohne entsprechende Nachfrage, jeden Versicherten individuell aufzuklären und zu beraten (Urteil 9C_675/2015 vom 31. Mai 2016 E. 4.2; vgl. auch BGE 133 V 249 E. 7.2 S. 255; SVR 2012 EL Nr. 15 S. 48, 9C_787/2011 E. 5.2). Ein Grund für eine Praxisänderung (vgl. dazu BGE 145 V 304 E. 4.4 S. 309; BGE 141 II 297 E. 5.5.1 S. 303) ist nicht ersichtlich und wird auch nicht geltend gemacht (vgl. nicht publ. E. 1). Weshalb die Verwaltung in concreto - über die allgemeine Informationspflicht hinaus (vgl. Art. 67 Abs. 2 AHVV ; SVR 2007 ALV Nr. 20 S. 64, C 36/06 E. 5.2; AHV Merkblatt 3.04, Leistungen der AHV, Flexibler Rentenbezug) - vor September 2018 einen individuellen Aufklärungsbedarf des Beschwerdeführers hätte erkennen müssen, wird ebenfalls nicht substanziiert dargelegt. Die Beschwerde ist demnach auch in diesem Punkt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